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9350D" w:rsidRDefault="00A9350D">
      <w:pPr>
        <w:rPr>
          <w:rFonts w:ascii="黑体" w:eastAsia="黑体" w:hAnsi="黑体" w:hint="eastAsia"/>
          <w:sz w:val="32"/>
          <w:szCs w:val="32"/>
        </w:rPr>
      </w:pPr>
    </w:p>
    <w:p w:rsidR="00A9350D" w:rsidRDefault="00A9350D">
      <w:pPr>
        <w:jc w:val="center"/>
        <w:rPr>
          <w:rFonts w:ascii="方正小标宋_GBK" w:eastAsia="方正小标宋_GBK" w:hAnsi="宋体" w:hint="eastAsia"/>
          <w:sz w:val="44"/>
          <w:szCs w:val="44"/>
        </w:rPr>
      </w:pPr>
    </w:p>
    <w:p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木垒哈萨克自治县图书馆</w:t>
      </w:r>
    </w:p>
    <w:p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A9350D"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A9350D"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A9350D"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A9350D"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A9350D"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A9350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A9350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A9350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A9350D"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A9350D"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A9350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A9350D"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A9350D" w:rsidRDefault="00000000">
      <w:r>
        <w:rPr>
          <w:rFonts w:ascii="仿宋_GB2312" w:eastAsia="仿宋_GB2312" w:hAnsi="仿宋_GB2312" w:cs="仿宋_GB2312" w:hint="eastAsia"/>
          <w:sz w:val="32"/>
          <w:szCs w:val="32"/>
        </w:rPr>
        <w:fldChar w:fldCharType="end"/>
      </w:r>
    </w:p>
    <w:p w:rsidR="00A9350D" w:rsidRDefault="00000000">
      <w:pPr>
        <w:rPr>
          <w:rFonts w:ascii="仿宋_GB2312" w:eastAsia="仿宋_GB2312"/>
          <w:sz w:val="32"/>
          <w:szCs w:val="32"/>
        </w:rPr>
      </w:pPr>
      <w:r>
        <w:rPr>
          <w:rFonts w:ascii="仿宋_GB2312" w:eastAsia="仿宋_GB2312" w:hint="eastAsia"/>
          <w:sz w:val="32"/>
          <w:szCs w:val="32"/>
        </w:rPr>
        <w:br w:type="page"/>
      </w:r>
    </w:p>
    <w:p w:rsidR="00A9350D"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A9350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A9350D" w:rsidRDefault="00000000">
      <w:pPr>
        <w:ind w:firstLineChars="200" w:firstLine="640"/>
        <w:rPr>
          <w:rFonts w:ascii="仿宋_GB2312" w:eastAsia="仿宋_GB2312"/>
          <w:sz w:val="32"/>
          <w:szCs w:val="32"/>
        </w:rPr>
      </w:pPr>
      <w:bookmarkStart w:id="4" w:name="_Toc31238"/>
      <w:bookmarkStart w:id="5" w:name="_Toc2151"/>
      <w:r>
        <w:rPr>
          <w:rFonts w:ascii="仿宋_GB2312" w:eastAsia="仿宋_GB2312" w:hint="eastAsia"/>
          <w:sz w:val="32"/>
          <w:szCs w:val="32"/>
        </w:rPr>
        <w:t>木垒哈萨克自治县图书馆承担承担收集、整理、和保存人类文化遗产，收集、保护地方文献、古籍等经典书籍，保护传承中华优秀传统文化。开通流通借阅服务、读者辅导和读者培训工作。利用图书、报纸、期刊和网络信息等文献面向社会公众提供知识信息咨询服务。开展馆际协作，促进文献资源共享，依法向社会公众免费开放。承担推动、引导、服务全民阅读工作和基层服务活动。接受自然人、法人或者其他组织向公共图书馆捐赠正式出版物或者编印的资料及其他文献信息等工作。完成木垒县文化体育广播电视和旅游局交办的其他任务。</w:t>
      </w:r>
    </w:p>
    <w:p w:rsidR="00A9350D" w:rsidRDefault="00000000">
      <w:pPr>
        <w:ind w:firstLineChars="200" w:firstLine="640"/>
        <w:rPr>
          <w:rFonts w:ascii="仿宋_GB2312" w:eastAsia="仿宋_GB2312"/>
          <w:sz w:val="32"/>
          <w:szCs w:val="32"/>
        </w:rPr>
      </w:pPr>
      <w:r>
        <w:rPr>
          <w:rFonts w:ascii="仿宋_GB2312" w:eastAsia="仿宋_GB2312" w:hint="eastAsia"/>
          <w:sz w:val="32"/>
          <w:szCs w:val="32"/>
        </w:rPr>
        <w:t>馆舍面积1500平方米，图书馆建设乡镇二级分馆11个；馆外延伸服务图书流动点17个，覆盖“军、警、机关、企业、学校”等各行业。</w:t>
      </w:r>
    </w:p>
    <w:p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开放时间：图书馆为更好地做好服务工作，每周为读者免费开放时间为56小时以上，节假日不闭馆。</w:t>
      </w:r>
    </w:p>
    <w:p w:rsidR="00A9350D"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A9350D"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木垒哈萨克自治县图书馆2023年度，实有人数</w:t>
      </w:r>
      <w:r>
        <w:rPr>
          <w:rFonts w:ascii="仿宋_GB2312" w:eastAsia="仿宋_GB2312" w:hint="eastAsia"/>
          <w:sz w:val="32"/>
          <w:szCs w:val="32"/>
          <w:lang w:val="zh-CN"/>
        </w:rPr>
        <w:t>16</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w:t>
      </w:r>
      <w:r>
        <w:rPr>
          <w:rFonts w:ascii="仿宋_GB2312" w:eastAsia="仿宋_GB2312" w:hint="eastAsia"/>
          <w:sz w:val="32"/>
          <w:szCs w:val="32"/>
        </w:rPr>
        <w:t>人。</w:t>
      </w:r>
    </w:p>
    <w:p w:rsidR="00A9350D" w:rsidRDefault="00000000">
      <w:pPr>
        <w:ind w:firstLineChars="200" w:firstLine="640"/>
        <w:rPr>
          <w:rFonts w:ascii="仿宋_GB2312" w:eastAsia="仿宋_GB2312" w:hAnsi="宋体" w:cs="宋体" w:hint="eastAsia"/>
          <w:kern w:val="0"/>
          <w:sz w:val="32"/>
          <w:szCs w:val="32"/>
        </w:rPr>
        <w:sectPr w:rsidR="00A9350D">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Ansi="宋体" w:hint="eastAsia"/>
          <w:bCs/>
          <w:sz w:val="32"/>
          <w:szCs w:val="32"/>
        </w:rPr>
        <w:t>6个室，分别是：办公室、采编室、阅览室、典藏室、流通室、财务室</w:t>
      </w:r>
      <w:r>
        <w:rPr>
          <w:rFonts w:ascii="仿宋_GB2312" w:eastAsia="仿宋_GB2312" w:hAnsi="宋体" w:cs="宋体" w:hint="eastAsia"/>
          <w:kern w:val="0"/>
          <w:sz w:val="32"/>
          <w:szCs w:val="32"/>
        </w:rPr>
        <w:t>。</w:t>
      </w:r>
    </w:p>
    <w:p w:rsidR="00A9350D"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rsidR="00A9350D"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2023年度收入总计174.13万元，其中：本年收入合计174.13万元，使用非财政拨款结余0.00万元，年初结转和结余0.00万元。</w:t>
      </w:r>
    </w:p>
    <w:p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2023年度支出总计174.13万元，其中：本年支出合计174.13万元，结余分配0.00万元，年末结转和结余0.00万元。</w:t>
      </w:r>
    </w:p>
    <w:p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增加22.32万元</w:t>
      </w:r>
      <w:r>
        <w:rPr>
          <w:rFonts w:ascii="仿宋_GB2312" w:eastAsia="仿宋_GB2312" w:hint="eastAsia"/>
          <w:sz w:val="32"/>
          <w:szCs w:val="32"/>
        </w:rPr>
        <w:t>，增长14.70%，主要原因是：</w:t>
      </w:r>
      <w:r>
        <w:rPr>
          <w:rFonts w:ascii="仿宋_GB2312" w:eastAsia="仿宋_GB2312" w:cs="仿宋_GB2312" w:hint="eastAsia"/>
          <w:sz w:val="32"/>
          <w:szCs w:val="32"/>
        </w:rPr>
        <w:t>单位本年人员工资调整，相应工资、津贴补贴、奖金增加</w:t>
      </w:r>
      <w:r>
        <w:rPr>
          <w:rFonts w:ascii="仿宋_GB2312" w:eastAsia="仿宋_GB2312" w:hint="eastAsia"/>
          <w:sz w:val="32"/>
          <w:szCs w:val="32"/>
          <w:lang w:val="zh-CN"/>
        </w:rPr>
        <w:t>。</w:t>
      </w:r>
    </w:p>
    <w:p w:rsidR="00A9350D"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本年收入174.13万元，其中：财政拨款收入169.02万元，占97.06%；上级补助收入0.00万元，占0.00%；事业收入0.00万元，占0.00%；经营收入0.00万元，占0.00%；附属单位上缴收入0.00万元，占0.00%；其他收入5.11万元，占2.94%。</w:t>
      </w:r>
    </w:p>
    <w:p w:rsidR="00A9350D"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本年支出174.13万元，其中：基本支出152.13万元，占87.37%；项目支出22.00万元，占12.63%；上缴上级支出0.00万元，占0.00%；经营支出0.00万元，占0.00%；对附属单位补助支出0.00万元，占0.00%。</w:t>
      </w:r>
    </w:p>
    <w:p w:rsidR="00A9350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169.02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169.02</w:t>
      </w:r>
      <w:r>
        <w:rPr>
          <w:rFonts w:ascii="仿宋_GB2312" w:eastAsia="仿宋_GB2312" w:hint="eastAsia"/>
          <w:sz w:val="32"/>
          <w:szCs w:val="32"/>
        </w:rPr>
        <w:t>万元。财政拨款支出总计</w:t>
      </w:r>
      <w:r>
        <w:rPr>
          <w:rFonts w:ascii="仿宋_GB2312" w:eastAsia="仿宋_GB2312" w:hint="eastAsia"/>
          <w:sz w:val="32"/>
          <w:szCs w:val="32"/>
          <w:lang w:val="zh-CN"/>
        </w:rPr>
        <w:t>169.02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169.02</w:t>
      </w:r>
      <w:r>
        <w:rPr>
          <w:rFonts w:ascii="仿宋_GB2312" w:eastAsia="仿宋_GB2312" w:hint="eastAsia"/>
          <w:sz w:val="32"/>
          <w:szCs w:val="32"/>
        </w:rPr>
        <w:t>万元。</w:t>
      </w:r>
    </w:p>
    <w:p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增加17.21万元</w:t>
      </w:r>
      <w:r>
        <w:rPr>
          <w:rFonts w:ascii="仿宋_GB2312" w:eastAsia="仿宋_GB2312" w:hint="eastAsia"/>
          <w:sz w:val="32"/>
          <w:szCs w:val="32"/>
        </w:rPr>
        <w:t>，增长11.34%,主要原因是：单位本年</w:t>
      </w:r>
      <w:r>
        <w:rPr>
          <w:rFonts w:ascii="仿宋_GB2312" w:eastAsia="仿宋_GB2312" w:hAnsi="仿宋_GB2312" w:cs="仿宋_GB2312" w:hint="eastAsia"/>
          <w:kern w:val="0"/>
          <w:sz w:val="32"/>
          <w:szCs w:val="32"/>
        </w:rPr>
        <w:t>中央自治区公共图书馆免费开放补助资金增加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162.27</w:t>
      </w:r>
      <w:r>
        <w:rPr>
          <w:rFonts w:ascii="仿宋_GB2312" w:eastAsia="仿宋_GB2312" w:hint="eastAsia"/>
          <w:sz w:val="32"/>
          <w:szCs w:val="32"/>
        </w:rPr>
        <w:t>万元，决算数</w:t>
      </w:r>
      <w:r>
        <w:rPr>
          <w:rFonts w:ascii="仿宋_GB2312" w:eastAsia="仿宋_GB2312" w:hint="eastAsia"/>
          <w:sz w:val="32"/>
          <w:szCs w:val="32"/>
          <w:lang w:val="zh-CN"/>
        </w:rPr>
        <w:t>169.02</w:t>
      </w:r>
      <w:r>
        <w:rPr>
          <w:rFonts w:ascii="仿宋_GB2312" w:eastAsia="仿宋_GB2312" w:hint="eastAsia"/>
          <w:sz w:val="32"/>
          <w:szCs w:val="32"/>
        </w:rPr>
        <w:t>万元，预决算差异率4.16%，主要原因是：</w:t>
      </w:r>
      <w:r>
        <w:rPr>
          <w:rFonts w:ascii="仿宋_GB2312" w:eastAsia="仿宋_GB2312" w:cs="仿宋_GB2312" w:hint="eastAsia"/>
          <w:sz w:val="32"/>
          <w:szCs w:val="32"/>
        </w:rPr>
        <w:t>单位本年人员工资调整，相应工资、津贴补贴、奖金增加</w:t>
      </w:r>
      <w:r>
        <w:rPr>
          <w:rFonts w:ascii="仿宋_GB2312" w:eastAsia="仿宋_GB2312" w:hint="eastAsia"/>
          <w:sz w:val="32"/>
          <w:szCs w:val="32"/>
          <w:lang w:val="zh-CN"/>
        </w:rPr>
        <w:t>。</w:t>
      </w:r>
    </w:p>
    <w:p w:rsidR="00A9350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A9350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2023年度一般公共预算财政拨款支出169.02万元，占本年支出合计的</w:t>
      </w:r>
      <w:r>
        <w:rPr>
          <w:rFonts w:ascii="仿宋_GB2312" w:eastAsia="仿宋_GB2312" w:hint="eastAsia"/>
          <w:sz w:val="32"/>
          <w:szCs w:val="32"/>
          <w:lang w:val="zh-CN"/>
        </w:rPr>
        <w:t>97.06%</w:t>
      </w:r>
      <w:r>
        <w:rPr>
          <w:rFonts w:ascii="仿宋_GB2312" w:eastAsia="仿宋_GB2312" w:hint="eastAsia"/>
          <w:sz w:val="32"/>
          <w:szCs w:val="32"/>
        </w:rPr>
        <w:t>。与上年相比，</w:t>
      </w:r>
      <w:r>
        <w:rPr>
          <w:rFonts w:ascii="仿宋_GB2312" w:eastAsia="仿宋_GB2312" w:hint="eastAsia"/>
          <w:sz w:val="32"/>
          <w:szCs w:val="32"/>
          <w:lang w:val="zh-CN"/>
        </w:rPr>
        <w:t>增加17.21万元</w:t>
      </w:r>
      <w:r>
        <w:rPr>
          <w:rFonts w:ascii="仿宋_GB2312" w:eastAsia="仿宋_GB2312" w:hint="eastAsia"/>
          <w:sz w:val="32"/>
          <w:szCs w:val="32"/>
        </w:rPr>
        <w:t>，增长11.34%,主要原因是：单位本年</w:t>
      </w:r>
      <w:r>
        <w:rPr>
          <w:rFonts w:ascii="仿宋_GB2312" w:eastAsia="仿宋_GB2312" w:hAnsi="仿宋_GB2312" w:cs="仿宋_GB2312" w:hint="eastAsia"/>
          <w:kern w:val="0"/>
          <w:sz w:val="32"/>
          <w:szCs w:val="32"/>
        </w:rPr>
        <w:t>中央自治区公共图书馆免费开放补助资金增加。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162.27</w:t>
      </w:r>
      <w:r>
        <w:rPr>
          <w:rFonts w:ascii="仿宋_GB2312" w:eastAsia="仿宋_GB2312" w:hint="eastAsia"/>
          <w:sz w:val="32"/>
          <w:szCs w:val="32"/>
        </w:rPr>
        <w:t>万元，决算数</w:t>
      </w:r>
      <w:r>
        <w:rPr>
          <w:rFonts w:ascii="仿宋_GB2312" w:eastAsia="仿宋_GB2312" w:hint="eastAsia"/>
          <w:sz w:val="32"/>
          <w:szCs w:val="32"/>
          <w:lang w:val="zh-CN"/>
        </w:rPr>
        <w:t>169.02</w:t>
      </w:r>
      <w:r>
        <w:rPr>
          <w:rFonts w:ascii="仿宋_GB2312" w:eastAsia="仿宋_GB2312" w:hint="eastAsia"/>
          <w:sz w:val="32"/>
          <w:szCs w:val="32"/>
        </w:rPr>
        <w:t>万元，预决算差异率</w:t>
      </w:r>
      <w:r>
        <w:rPr>
          <w:rFonts w:ascii="仿宋_GB2312" w:eastAsia="仿宋_GB2312" w:hint="eastAsia"/>
          <w:sz w:val="32"/>
          <w:szCs w:val="32"/>
          <w:lang w:val="zh-CN"/>
        </w:rPr>
        <w:t>4.16%</w:t>
      </w:r>
      <w:r>
        <w:rPr>
          <w:rFonts w:ascii="仿宋_GB2312" w:eastAsia="仿宋_GB2312" w:hint="eastAsia"/>
          <w:sz w:val="32"/>
          <w:szCs w:val="32"/>
        </w:rPr>
        <w:t>，主要原因是：</w:t>
      </w:r>
      <w:r>
        <w:rPr>
          <w:rFonts w:ascii="仿宋_GB2312" w:eastAsia="仿宋_GB2312" w:cs="仿宋_GB2312" w:hint="eastAsia"/>
          <w:sz w:val="32"/>
          <w:szCs w:val="32"/>
        </w:rPr>
        <w:t>单位本年人员工资调整，相应工资、津贴补贴、奖金增加</w:t>
      </w:r>
      <w:r>
        <w:rPr>
          <w:rFonts w:ascii="仿宋_GB2312" w:eastAsia="仿宋_GB2312" w:hint="eastAsia"/>
          <w:sz w:val="32"/>
          <w:szCs w:val="32"/>
          <w:lang w:val="zh-CN"/>
        </w:rPr>
        <w:t>。</w:t>
      </w:r>
    </w:p>
    <w:p w:rsidR="00A9350D"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A9350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166.04</w:t>
      </w:r>
      <w:r>
        <w:rPr>
          <w:rFonts w:ascii="仿宋_GB2312" w:eastAsia="仿宋_GB2312"/>
          <w:kern w:val="2"/>
          <w:sz w:val="32"/>
          <w:szCs w:val="32"/>
          <w:lang w:val="zh-CN"/>
        </w:rPr>
        <w:t>万元，占</w:t>
      </w:r>
      <w:r>
        <w:rPr>
          <w:rFonts w:ascii="仿宋_GB2312" w:eastAsia="仿宋_GB2312" w:hint="eastAsia"/>
          <w:kern w:val="2"/>
          <w:sz w:val="32"/>
          <w:szCs w:val="32"/>
          <w:lang w:val="zh-CN"/>
        </w:rPr>
        <w:t>98.24</w:t>
      </w:r>
      <w:r>
        <w:rPr>
          <w:rFonts w:ascii="仿宋_GB2312" w:eastAsia="仿宋_GB2312"/>
          <w:kern w:val="2"/>
          <w:sz w:val="32"/>
          <w:szCs w:val="32"/>
          <w:lang w:val="zh-CN"/>
        </w:rPr>
        <w:t>%；</w:t>
      </w:r>
    </w:p>
    <w:p w:rsidR="00A9350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2.98</w:t>
      </w:r>
      <w:r>
        <w:rPr>
          <w:rFonts w:ascii="仿宋_GB2312" w:eastAsia="仿宋_GB2312"/>
          <w:kern w:val="2"/>
          <w:sz w:val="32"/>
          <w:szCs w:val="32"/>
          <w:lang w:val="zh-CN"/>
        </w:rPr>
        <w:t>万元，占</w:t>
      </w:r>
      <w:r>
        <w:rPr>
          <w:rFonts w:ascii="仿宋_GB2312" w:eastAsia="仿宋_GB2312" w:hint="eastAsia"/>
          <w:kern w:val="2"/>
          <w:sz w:val="32"/>
          <w:szCs w:val="32"/>
          <w:lang w:val="zh-CN"/>
        </w:rPr>
        <w:t>1.76</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A9350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1.文化旅游体育与传媒支出（类）文化和旅游（款）图书馆（项）:支出决算数为144.04万元，比上年决算增加31.99万元，增长28.55%，主要原因是：</w:t>
      </w:r>
      <w:r>
        <w:rPr>
          <w:rFonts w:ascii="仿宋_GB2312" w:eastAsia="仿宋_GB2312" w:cs="仿宋_GB2312" w:hint="eastAsia"/>
          <w:sz w:val="32"/>
          <w:szCs w:val="32"/>
        </w:rPr>
        <w:t>单位本年人员工资调整，相应工资、津贴补贴、奖金增加</w:t>
      </w:r>
      <w:r>
        <w:rPr>
          <w:rFonts w:ascii="仿宋_GB2312" w:eastAsia="仿宋_GB2312" w:hint="eastAsia"/>
          <w:sz w:val="32"/>
          <w:szCs w:val="32"/>
          <w:lang w:val="zh-CN"/>
        </w:rPr>
        <w:t>。</w:t>
      </w:r>
    </w:p>
    <w:p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int="eastAsia"/>
          <w:sz w:val="32"/>
          <w:szCs w:val="32"/>
        </w:rPr>
        <w:t>2.文化旅游体育与传媒支出（类）文化和旅游（款）其他文化和旅游支出（项）:支出决算数为22.00万元，比上年决算增加22.00万元，增长100%，主要原因是：单位本年</w:t>
      </w:r>
      <w:r>
        <w:rPr>
          <w:rFonts w:ascii="仿宋_GB2312" w:eastAsia="仿宋_GB2312" w:hAnsi="仿宋_GB2312" w:cs="仿宋_GB2312" w:hint="eastAsia"/>
          <w:kern w:val="0"/>
          <w:sz w:val="32"/>
          <w:szCs w:val="32"/>
        </w:rPr>
        <w:t>中央自治区公共图书馆免费开放补助资金增加。</w:t>
      </w:r>
    </w:p>
    <w:p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int="eastAsia"/>
          <w:sz w:val="32"/>
          <w:szCs w:val="32"/>
        </w:rPr>
        <w:t>3.社会保障和就业支出（类）行政事业单位养老支出（款）事业单位离退休（项）:支出决算数为2.98万元，比上年决算增加2.86万元，增长2353.89%，主要原因是：单位本年</w:t>
      </w:r>
      <w:r>
        <w:rPr>
          <w:rFonts w:ascii="仿宋_GB2312" w:eastAsia="仿宋_GB2312" w:hAnsi="仿宋_GB2312" w:cs="仿宋_GB2312" w:hint="eastAsia"/>
          <w:kern w:val="0"/>
          <w:sz w:val="32"/>
          <w:szCs w:val="32"/>
        </w:rPr>
        <w:t>补发退休人员2022年度退休费。</w:t>
      </w:r>
    </w:p>
    <w:p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4.文化旅游体育与传媒支出（类）其他文化旅游体育与传媒支出（款）其他文化旅游体育与传媒支出（项）:支出决算数为0.00万元，比上年决算减少18.68万元，下降100%，主要原因是：单位本年无此项支出</w:t>
      </w:r>
      <w:r>
        <w:rPr>
          <w:rFonts w:ascii="仿宋_GB2312" w:eastAsia="仿宋_GB2312" w:hint="eastAsia"/>
          <w:sz w:val="32"/>
          <w:szCs w:val="32"/>
          <w:lang w:val="zh-CN"/>
        </w:rPr>
        <w:t>。</w:t>
      </w:r>
    </w:p>
    <w:p w:rsidR="00A9350D" w:rsidRDefault="00000000">
      <w:pPr>
        <w:ind w:firstLineChars="200" w:firstLine="640"/>
        <w:jc w:val="left"/>
        <w:outlineLvl w:val="1"/>
        <w:rPr>
          <w:rFonts w:ascii="仿宋_GB2312" w:eastAsia="仿宋_GB2312" w:hAnsi="仿宋_GB2312" w:cs="仿宋_GB2312" w:hint="eastAsia"/>
          <w:sz w:val="32"/>
          <w:szCs w:val="32"/>
        </w:rPr>
      </w:pPr>
      <w:r>
        <w:rPr>
          <w:rFonts w:ascii="仿宋_GB2312" w:eastAsia="仿宋_GB2312" w:hint="eastAsia"/>
          <w:sz w:val="32"/>
          <w:szCs w:val="32"/>
        </w:rPr>
        <w:t>5.住房保障支出（类）住房改革支出（款）住房公积金（项）:支出决算数为0.00万元，比上年决算减少9.30万</w:t>
      </w:r>
      <w:r>
        <w:rPr>
          <w:rFonts w:ascii="仿宋_GB2312" w:eastAsia="仿宋_GB2312" w:hint="eastAsia"/>
          <w:sz w:val="32"/>
          <w:szCs w:val="32"/>
        </w:rPr>
        <w:lastRenderedPageBreak/>
        <w:t>元，下降100%，主要原因是：</w:t>
      </w:r>
      <w:r>
        <w:rPr>
          <w:rFonts w:ascii="仿宋_GB2312" w:eastAsia="仿宋_GB2312" w:hAnsi="仿宋_GB2312" w:cs="仿宋_GB2312" w:hint="eastAsia"/>
          <w:kern w:val="0"/>
          <w:sz w:val="32"/>
          <w:szCs w:val="32"/>
        </w:rPr>
        <w:t>本年住房公积金功能分类科目调整为</w:t>
      </w:r>
      <w:r>
        <w:rPr>
          <w:rFonts w:ascii="仿宋_GB2312" w:eastAsia="仿宋_GB2312" w:hAnsi="仿宋_GB2312" w:cs="仿宋_GB2312" w:hint="eastAsia"/>
          <w:sz w:val="32"/>
          <w:szCs w:val="32"/>
        </w:rPr>
        <w:t>文化旅游体育与传媒支出（</w:t>
      </w:r>
      <w:r>
        <w:rPr>
          <w:rFonts w:ascii="仿宋_GB2312" w:eastAsia="仿宋_GB2312" w:hAnsi="仿宋_GB2312" w:cs="仿宋_GB2312" w:hint="eastAsia"/>
          <w:kern w:val="0"/>
          <w:sz w:val="32"/>
          <w:szCs w:val="32"/>
        </w:rPr>
        <w:t>类</w:t>
      </w:r>
      <w:r>
        <w:rPr>
          <w:rFonts w:ascii="仿宋_GB2312" w:eastAsia="仿宋_GB2312" w:hAnsi="仿宋_GB2312" w:cs="仿宋_GB2312" w:hint="eastAsia"/>
          <w:sz w:val="32"/>
          <w:szCs w:val="32"/>
        </w:rPr>
        <w:t>）文化和旅游（</w:t>
      </w:r>
      <w:r>
        <w:rPr>
          <w:rFonts w:ascii="仿宋_GB2312" w:eastAsia="仿宋_GB2312" w:hAnsi="仿宋_GB2312" w:cs="仿宋_GB2312" w:hint="eastAsia"/>
          <w:kern w:val="0"/>
          <w:sz w:val="32"/>
          <w:szCs w:val="32"/>
        </w:rPr>
        <w:t>款</w:t>
      </w:r>
      <w:r>
        <w:rPr>
          <w:rFonts w:ascii="仿宋_GB2312" w:eastAsia="仿宋_GB2312" w:hAnsi="仿宋_GB2312" w:cs="仿宋_GB2312" w:hint="eastAsia"/>
          <w:sz w:val="32"/>
          <w:szCs w:val="32"/>
        </w:rPr>
        <w:t>）图书馆（</w:t>
      </w:r>
      <w:r>
        <w:rPr>
          <w:rFonts w:ascii="仿宋_GB2312" w:eastAsia="仿宋_GB2312" w:hAnsi="仿宋_GB2312" w:cs="仿宋_GB2312" w:hint="eastAsia"/>
          <w:kern w:val="0"/>
          <w:sz w:val="32"/>
          <w:szCs w:val="32"/>
        </w:rPr>
        <w:t>项</w:t>
      </w:r>
      <w:r>
        <w:rPr>
          <w:rFonts w:ascii="仿宋_GB2312" w:eastAsia="仿宋_GB2312" w:hAnsi="仿宋_GB2312" w:cs="仿宋_GB2312" w:hint="eastAsia"/>
          <w:sz w:val="32"/>
          <w:szCs w:val="32"/>
        </w:rPr>
        <w:t>）。</w:t>
      </w:r>
    </w:p>
    <w:p w:rsidR="00A9350D" w:rsidRDefault="00000000">
      <w:pPr>
        <w:spacing w:line="600" w:lineRule="exact"/>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6.社会保障和就业支出（类）行政事业单位养老支出（款）机关事业单位基本养老保险缴费支出（项）:支出决算数为0.00万元，比上年决算减少11.66万元，下降100%，主要原因是：</w:t>
      </w:r>
      <w:r>
        <w:rPr>
          <w:rFonts w:ascii="仿宋_GB2312" w:eastAsia="仿宋_GB2312" w:hAnsi="仿宋_GB2312" w:cs="仿宋_GB2312" w:hint="eastAsia"/>
          <w:kern w:val="0"/>
          <w:sz w:val="32"/>
          <w:szCs w:val="32"/>
        </w:rPr>
        <w:t>2023年</w:t>
      </w:r>
      <w:r>
        <w:rPr>
          <w:rFonts w:ascii="仿宋_GB2312" w:eastAsia="仿宋_GB2312" w:hAnsi="仿宋_GB2312" w:cs="仿宋_GB2312" w:hint="eastAsia"/>
          <w:sz w:val="32"/>
          <w:szCs w:val="32"/>
        </w:rPr>
        <w:t>基本养老保险缴费支出</w:t>
      </w:r>
      <w:r>
        <w:rPr>
          <w:rFonts w:ascii="仿宋_GB2312" w:eastAsia="仿宋_GB2312" w:hAnsi="仿宋_GB2312" w:cs="仿宋_GB2312" w:hint="eastAsia"/>
          <w:kern w:val="0"/>
          <w:sz w:val="32"/>
          <w:szCs w:val="32"/>
        </w:rPr>
        <w:t>功能分类科目调整为</w:t>
      </w:r>
      <w:r>
        <w:rPr>
          <w:rFonts w:ascii="仿宋_GB2312" w:eastAsia="仿宋_GB2312" w:hAnsi="仿宋_GB2312" w:cs="仿宋_GB2312" w:hint="eastAsia"/>
          <w:sz w:val="32"/>
          <w:szCs w:val="32"/>
        </w:rPr>
        <w:t>文化旅游体育与传媒支出（</w:t>
      </w:r>
      <w:r>
        <w:rPr>
          <w:rFonts w:ascii="仿宋_GB2312" w:eastAsia="仿宋_GB2312" w:hAnsi="仿宋_GB2312" w:cs="仿宋_GB2312" w:hint="eastAsia"/>
          <w:kern w:val="0"/>
          <w:sz w:val="32"/>
          <w:szCs w:val="32"/>
        </w:rPr>
        <w:t>类</w:t>
      </w:r>
      <w:r>
        <w:rPr>
          <w:rFonts w:ascii="仿宋_GB2312" w:eastAsia="仿宋_GB2312" w:hAnsi="仿宋_GB2312" w:cs="仿宋_GB2312" w:hint="eastAsia"/>
          <w:sz w:val="32"/>
          <w:szCs w:val="32"/>
        </w:rPr>
        <w:t>）文化和旅游（</w:t>
      </w:r>
      <w:r>
        <w:rPr>
          <w:rFonts w:ascii="仿宋_GB2312" w:eastAsia="仿宋_GB2312" w:hAnsi="仿宋_GB2312" w:cs="仿宋_GB2312" w:hint="eastAsia"/>
          <w:kern w:val="0"/>
          <w:sz w:val="32"/>
          <w:szCs w:val="32"/>
        </w:rPr>
        <w:t>款</w:t>
      </w:r>
      <w:r>
        <w:rPr>
          <w:rFonts w:ascii="仿宋_GB2312" w:eastAsia="仿宋_GB2312" w:hAnsi="仿宋_GB2312" w:cs="仿宋_GB2312" w:hint="eastAsia"/>
          <w:sz w:val="32"/>
          <w:szCs w:val="32"/>
        </w:rPr>
        <w:t>）图书馆（</w:t>
      </w:r>
      <w:r>
        <w:rPr>
          <w:rFonts w:ascii="仿宋_GB2312" w:eastAsia="仿宋_GB2312" w:hAnsi="仿宋_GB2312" w:cs="仿宋_GB2312" w:hint="eastAsia"/>
          <w:kern w:val="0"/>
          <w:sz w:val="32"/>
          <w:szCs w:val="32"/>
        </w:rPr>
        <w:t>项</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w:t>
      </w:r>
    </w:p>
    <w:p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147.02万元，其中：人员经费138.73万元，包括：基本工资、津贴补贴、奖金、机关事业单位基本养老保险缴费、职工基本医疗保险缴费、其他社会保障缴费、住房公积金、其他工资福利支出、退休费、奖励金、其他对个人和家庭的补助。</w:t>
      </w:r>
    </w:p>
    <w:p w:rsidR="00A9350D"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公用经费8.29万元，包括：办公费、手续费、水费、电费、维修（护）费、劳务费、福利费、公务用车运行维护费、其他商品和服务支出、其他资本性支出。</w:t>
      </w:r>
    </w:p>
    <w:p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“三公”经费支出0.19万元，</w:t>
      </w:r>
      <w:r>
        <w:rPr>
          <w:rFonts w:ascii="仿宋_GB2312" w:eastAsia="仿宋_GB2312" w:hint="eastAsia"/>
          <w:sz w:val="32"/>
          <w:szCs w:val="32"/>
        </w:rPr>
        <w:t>比上年</w:t>
      </w:r>
      <w:r>
        <w:rPr>
          <w:rFonts w:ascii="仿宋_GB2312" w:eastAsia="仿宋_GB2312" w:hint="eastAsia"/>
          <w:sz w:val="32"/>
          <w:szCs w:val="32"/>
          <w:lang w:val="zh-CN"/>
        </w:rPr>
        <w:t>减少0.01万元，</w:t>
      </w:r>
      <w:r>
        <w:rPr>
          <w:rFonts w:ascii="仿宋_GB2312" w:eastAsia="仿宋_GB2312" w:hint="eastAsia"/>
          <w:sz w:val="32"/>
          <w:szCs w:val="32"/>
        </w:rPr>
        <w:t>下降5.00%,</w:t>
      </w:r>
      <w:r>
        <w:rPr>
          <w:rFonts w:ascii="仿宋_GB2312" w:eastAsia="仿宋_GB2312" w:hint="eastAsia"/>
          <w:sz w:val="32"/>
          <w:szCs w:val="32"/>
          <w:lang w:val="zh-CN"/>
        </w:rPr>
        <w:t>主要原因是：</w:t>
      </w:r>
      <w:r>
        <w:rPr>
          <w:rFonts w:ascii="仿宋_GB2312" w:eastAsia="仿宋_GB2312" w:cs="仿宋_GB2312" w:hint="eastAsia"/>
          <w:kern w:val="0"/>
          <w:sz w:val="32"/>
          <w:szCs w:val="32"/>
        </w:rPr>
        <w:t>公务用车出行次数减少，车辆燃油费、运行费减少</w:t>
      </w:r>
      <w:r>
        <w:rPr>
          <w:rFonts w:ascii="仿宋_GB2312" w:eastAsia="仿宋_GB2312" w:hint="eastAsia"/>
          <w:sz w:val="32"/>
          <w:szCs w:val="32"/>
          <w:lang w:val="zh-CN"/>
        </w:rPr>
        <w:t>。其中：因公出国（境）</w:t>
      </w:r>
      <w:r>
        <w:rPr>
          <w:rFonts w:ascii="仿宋_GB2312" w:eastAsia="仿宋_GB2312" w:hint="eastAsia"/>
          <w:sz w:val="32"/>
          <w:szCs w:val="32"/>
          <w:lang w:val="zh-CN"/>
        </w:rPr>
        <w:lastRenderedPageBreak/>
        <w:t>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；公务用车购置及运行维护费支出0.19万元，占100.00%，比上年减少0.01万元，</w:t>
      </w:r>
      <w:r>
        <w:rPr>
          <w:rFonts w:ascii="仿宋_GB2312" w:eastAsia="仿宋_GB2312" w:hint="eastAsia"/>
          <w:sz w:val="32"/>
          <w:szCs w:val="32"/>
        </w:rPr>
        <w:t>下降5.00%,</w:t>
      </w:r>
      <w:r>
        <w:rPr>
          <w:rFonts w:ascii="仿宋_GB2312" w:eastAsia="仿宋_GB2312" w:hint="eastAsia"/>
          <w:sz w:val="32"/>
          <w:szCs w:val="32"/>
          <w:lang w:val="zh-CN"/>
        </w:rPr>
        <w:t>主要原因是：</w:t>
      </w:r>
      <w:r>
        <w:rPr>
          <w:rFonts w:ascii="仿宋_GB2312" w:eastAsia="仿宋_GB2312" w:cs="仿宋_GB2312" w:hint="eastAsia"/>
          <w:kern w:val="0"/>
          <w:sz w:val="32"/>
          <w:szCs w:val="32"/>
        </w:rPr>
        <w:t>公务用车出行次数减少，车辆燃油费、运行费减少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。单位全年安排的因公出国（境）团组0个，因公出国（境）0人次。</w:t>
      </w:r>
    </w:p>
    <w:p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0.19万元，其中：公务用车购置费0.00万元，公务用车运行维护费0.19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对比无差异</w:t>
      </w:r>
      <w:r>
        <w:rPr>
          <w:rFonts w:ascii="仿宋_GB2312" w:eastAsia="仿宋_GB2312" w:hint="eastAsia"/>
          <w:sz w:val="32"/>
          <w:szCs w:val="32"/>
          <w:lang w:val="zh-CN"/>
        </w:rPr>
        <w:t>。</w:t>
      </w:r>
    </w:p>
    <w:p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。单位全年安排的国内公务接待0批次，0人次。</w:t>
      </w:r>
    </w:p>
    <w:p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预算数0.19万元，决算数0.19万元，预决算差异率0.00%，主要原因是：</w:t>
      </w:r>
      <w:r>
        <w:rPr>
          <w:rFonts w:ascii="仿宋_GB2312" w:eastAsia="仿宋_GB2312" w:hint="eastAsia"/>
          <w:sz w:val="32"/>
          <w:szCs w:val="32"/>
        </w:rPr>
        <w:t>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w:t>
      </w:r>
      <w:r>
        <w:rPr>
          <w:rFonts w:ascii="仿宋_GB2312" w:eastAsia="仿宋_GB2312" w:hint="eastAsia"/>
          <w:sz w:val="32"/>
          <w:szCs w:val="32"/>
        </w:rPr>
        <w:lastRenderedPageBreak/>
        <w:t>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预算数0.19万元，决算数0.19万元，预决算差异率0.00%，主要原因是：</w:t>
      </w:r>
      <w:r>
        <w:rPr>
          <w:rFonts w:ascii="仿宋_GB2312" w:eastAsia="仿宋_GB2312" w:hint="eastAsia"/>
          <w:sz w:val="32"/>
          <w:szCs w:val="32"/>
        </w:rPr>
        <w:t>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A9350D"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A9350D"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A9350D"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rsidR="00A9350D" w:rsidRDefault="00000000">
      <w:pPr>
        <w:ind w:firstLineChars="200" w:firstLine="640"/>
        <w:rPr>
          <w:rFonts w:eastAsia="仿宋_GB2312"/>
          <w:sz w:val="30"/>
          <w:szCs w:val="30"/>
          <w:highlight w:val="red"/>
          <w:lang w:val="zh-CN"/>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木垒哈萨克自治县图书馆（事业单位）公用经费支出8.29万元，</w:t>
      </w:r>
      <w:r>
        <w:rPr>
          <w:rFonts w:ascii="仿宋_GB2312" w:eastAsia="仿宋_GB2312" w:hint="eastAsia"/>
          <w:sz w:val="32"/>
          <w:szCs w:val="32"/>
          <w:lang w:val="zh-CN"/>
        </w:rPr>
        <w:t>比上年增加2.16万元，增长35.26%，主要原因是：</w:t>
      </w:r>
      <w:r>
        <w:rPr>
          <w:rFonts w:ascii="仿宋_GB2312" w:eastAsia="仿宋_GB2312" w:hint="eastAsia"/>
          <w:sz w:val="32"/>
          <w:szCs w:val="32"/>
        </w:rPr>
        <w:t>单位本年办公费、</w:t>
      </w:r>
      <w:proofErr w:type="gramStart"/>
      <w:r>
        <w:rPr>
          <w:rFonts w:ascii="仿宋_GB2312" w:eastAsia="仿宋_GB2312" w:hint="eastAsia"/>
          <w:sz w:val="32"/>
          <w:szCs w:val="32"/>
        </w:rPr>
        <w:t>印刷费较上年</w:t>
      </w:r>
      <w:proofErr w:type="gramEnd"/>
      <w:r>
        <w:rPr>
          <w:rFonts w:ascii="仿宋_GB2312" w:eastAsia="仿宋_GB2312" w:hint="eastAsia"/>
          <w:sz w:val="32"/>
          <w:szCs w:val="32"/>
        </w:rPr>
        <w:t>增加</w:t>
      </w:r>
      <w:r>
        <w:rPr>
          <w:rFonts w:ascii="仿宋_GB2312" w:eastAsia="仿宋_GB2312" w:hint="eastAsia"/>
          <w:sz w:val="32"/>
          <w:szCs w:val="32"/>
          <w:lang w:val="zh-CN"/>
        </w:rPr>
        <w:t>。</w:t>
      </w:r>
    </w:p>
    <w:p w:rsidR="00A9350D"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A9350D" w:rsidRDefault="00000000">
      <w:pPr>
        <w:ind w:firstLineChars="200" w:firstLine="640"/>
        <w:rPr>
          <w:rFonts w:ascii="仿宋_GB2312" w:eastAsia="仿宋_GB2312"/>
          <w:sz w:val="32"/>
          <w:szCs w:val="32"/>
          <w:lang w:val="zh-CN"/>
        </w:rPr>
      </w:pPr>
      <w:r>
        <w:rPr>
          <w:rFonts w:ascii="仿宋_GB2312" w:eastAsia="仿宋_GB2312" w:hint="eastAsia"/>
          <w:sz w:val="32"/>
          <w:szCs w:val="32"/>
          <w:lang w:val="zh-CN"/>
        </w:rPr>
        <w:lastRenderedPageBreak/>
        <w:t>2023年度政府采购支出总额14.28万元，其中：政府采购货物支出9.00万元、政府采购工程支出0.00万元、政府采购服务支出5.29万元。</w:t>
      </w:r>
    </w:p>
    <w:p w:rsidR="00A9350D" w:rsidRDefault="00000000">
      <w:pPr>
        <w:ind w:firstLineChars="200" w:firstLine="640"/>
        <w:rPr>
          <w:rFonts w:ascii="仿宋_GB2312" w:eastAsia="仿宋_GB2312"/>
          <w:sz w:val="32"/>
          <w:szCs w:val="32"/>
        </w:rPr>
      </w:pPr>
      <w:r>
        <w:rPr>
          <w:rFonts w:ascii="仿宋_GB2312" w:eastAsia="仿宋_GB2312" w:hint="eastAsia"/>
          <w:sz w:val="32"/>
          <w:szCs w:val="32"/>
          <w:lang w:val="zh-CN"/>
        </w:rPr>
        <w:t>授予中小企业合同金额13.28万元，占政府采购支出总额的93.00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合同金额12.97万元，占政府采购支出总额的90.79</w:t>
      </w:r>
      <w:r>
        <w:rPr>
          <w:rFonts w:ascii="仿宋_GB2312" w:eastAsia="仿宋_GB2312"/>
          <w:sz w:val="32"/>
          <w:szCs w:val="32"/>
          <w:lang w:val="zh-CN"/>
        </w:rPr>
        <w:t>%</w:t>
      </w:r>
      <w:r>
        <w:rPr>
          <w:rFonts w:ascii="仿宋_GB2312" w:eastAsia="仿宋_GB2312" w:hint="eastAsia"/>
          <w:sz w:val="32"/>
          <w:szCs w:val="32"/>
        </w:rPr>
        <w:t>。</w:t>
      </w:r>
    </w:p>
    <w:p w:rsidR="00A9350D"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A9350D" w:rsidRDefault="00000000">
      <w:pPr>
        <w:ind w:firstLineChars="200" w:firstLine="640"/>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144.67</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平方米，价值0.00万元。车辆1辆，价值19.54万元，其中：副部（省）级及以上领导用车0辆、主要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用车0辆、其他用车1辆，其他用车主要是：</w:t>
      </w:r>
      <w:r>
        <w:rPr>
          <w:rFonts w:ascii="仿宋_GB2312" w:eastAsia="仿宋_GB2312" w:hint="eastAsia"/>
          <w:sz w:val="32"/>
          <w:szCs w:val="32"/>
        </w:rPr>
        <w:t>单位业务用车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rsidR="00A9350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A9350D" w:rsidRDefault="0000000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w:t>
      </w:r>
      <w:r>
        <w:rPr>
          <w:rFonts w:ascii="仿宋_GB2312" w:eastAsia="仿宋_GB2312" w:hint="eastAsia"/>
          <w:sz w:val="32"/>
          <w:szCs w:val="32"/>
        </w:rPr>
        <w:t>整体支出绩效自评表1个，全年预算总额174.13万元，实际执行总额174.13万元；预算绩效评价项目2个，全年预算数22</w:t>
      </w:r>
      <w:r w:rsidR="00D02C6F">
        <w:rPr>
          <w:rFonts w:ascii="仿宋_GB2312" w:eastAsia="仿宋_GB2312" w:hint="eastAsia"/>
          <w:sz w:val="32"/>
          <w:szCs w:val="32"/>
        </w:rPr>
        <w:t>.00</w:t>
      </w:r>
      <w:r>
        <w:rPr>
          <w:rFonts w:ascii="仿宋_GB2312" w:eastAsia="仿宋_GB2312" w:hint="eastAsia"/>
          <w:sz w:val="32"/>
          <w:szCs w:val="32"/>
        </w:rPr>
        <w:t>万元，全年执行数22</w:t>
      </w:r>
      <w:r w:rsidR="00D02C6F">
        <w:rPr>
          <w:rFonts w:ascii="仿宋_GB2312" w:eastAsia="仿宋_GB2312" w:hint="eastAsia"/>
          <w:sz w:val="32"/>
          <w:szCs w:val="32"/>
        </w:rPr>
        <w:t>.00</w:t>
      </w:r>
      <w:r>
        <w:rPr>
          <w:rFonts w:ascii="仿宋_GB2312" w:eastAsia="仿宋_GB2312" w:hint="eastAsia"/>
          <w:sz w:val="32"/>
          <w:szCs w:val="32"/>
        </w:rPr>
        <w:t>万元。预算绩效管理取得的成效：</w:t>
      </w:r>
      <w:r>
        <w:rPr>
          <w:rFonts w:ascii="仿宋_GB2312" w:eastAsia="仿宋_GB2312" w:hint="eastAsia"/>
          <w:sz w:val="32"/>
          <w:szCs w:val="32"/>
          <w:lang w:val="zh-CN"/>
        </w:rPr>
        <w:t>一是达到总体目标，木垒县公共图书馆</w:t>
      </w:r>
      <w:r>
        <w:rPr>
          <w:rFonts w:ascii="仿宋_GB2312" w:eastAsia="仿宋_GB2312" w:hint="eastAsia"/>
          <w:sz w:val="32"/>
          <w:szCs w:val="32"/>
        </w:rPr>
        <w:t>场馆全年免费开放365日，新增文献人均0.027册，有效保障了社会公众的阅读权益，正常</w:t>
      </w:r>
      <w:r>
        <w:rPr>
          <w:rFonts w:ascii="仿宋_GB2312" w:eastAsia="仿宋_GB2312" w:hint="eastAsia"/>
          <w:sz w:val="32"/>
          <w:szCs w:val="32"/>
          <w:lang w:val="zh-CN"/>
        </w:rPr>
        <w:t>开展</w:t>
      </w:r>
      <w:r>
        <w:rPr>
          <w:rFonts w:ascii="仿宋_GB2312" w:eastAsia="仿宋_GB2312" w:hint="eastAsia"/>
          <w:sz w:val="32"/>
          <w:szCs w:val="32"/>
        </w:rPr>
        <w:t>全民</w:t>
      </w:r>
      <w:r>
        <w:rPr>
          <w:rFonts w:ascii="仿宋_GB2312" w:eastAsia="仿宋_GB2312" w:hint="eastAsia"/>
          <w:sz w:val="32"/>
          <w:szCs w:val="32"/>
          <w:lang w:val="zh-CN"/>
        </w:rPr>
        <w:t>阅读推广活动，社会公众</w:t>
      </w:r>
      <w:r>
        <w:rPr>
          <w:rFonts w:ascii="仿宋_GB2312" w:eastAsia="仿宋_GB2312" w:hint="eastAsia"/>
          <w:sz w:val="32"/>
          <w:szCs w:val="32"/>
          <w:lang w:val="zh-CN"/>
        </w:rPr>
        <w:lastRenderedPageBreak/>
        <w:t>对公共图书馆公共文化服务满意率</w:t>
      </w:r>
      <w:r>
        <w:rPr>
          <w:rFonts w:ascii="仿宋_GB2312" w:eastAsia="仿宋_GB2312" w:hint="eastAsia"/>
          <w:sz w:val="32"/>
          <w:szCs w:val="32"/>
        </w:rPr>
        <w:t>达到95%，</w:t>
      </w:r>
      <w:r>
        <w:rPr>
          <w:rFonts w:ascii="仿宋_GB2312" w:eastAsia="仿宋_GB2312" w:hint="eastAsia"/>
          <w:sz w:val="32"/>
          <w:szCs w:val="32"/>
          <w:lang w:val="zh-CN"/>
        </w:rPr>
        <w:t>我单位</w:t>
      </w:r>
      <w:r>
        <w:rPr>
          <w:rFonts w:ascii="仿宋_GB2312" w:eastAsia="仿宋_GB2312" w:hint="eastAsia"/>
          <w:sz w:val="32"/>
          <w:szCs w:val="32"/>
        </w:rPr>
        <w:t>2023</w:t>
      </w:r>
      <w:r>
        <w:rPr>
          <w:rFonts w:ascii="仿宋_GB2312" w:eastAsia="仿宋_GB2312" w:hint="eastAsia"/>
          <w:sz w:val="32"/>
          <w:szCs w:val="32"/>
          <w:lang w:val="zh-CN"/>
        </w:rPr>
        <w:t>年度的工作得到了社会公众对图书馆服务效能、业务能力、保障条件极大的认可</w:t>
      </w:r>
      <w:r>
        <w:rPr>
          <w:rFonts w:ascii="仿宋_GB2312" w:eastAsia="仿宋_GB2312" w:hint="eastAsia"/>
          <w:sz w:val="32"/>
          <w:szCs w:val="32"/>
        </w:rPr>
        <w:t>。</w:t>
      </w:r>
      <w:r>
        <w:rPr>
          <w:rFonts w:ascii="仿宋_GB2312" w:eastAsia="仿宋_GB2312" w:hint="eastAsia"/>
          <w:sz w:val="32"/>
          <w:szCs w:val="32"/>
          <w:lang w:val="zh-CN"/>
        </w:rPr>
        <w:t>二是达到阶段性目标，202</w:t>
      </w:r>
      <w:r>
        <w:rPr>
          <w:rFonts w:ascii="仿宋_GB2312" w:eastAsia="仿宋_GB2312" w:hint="eastAsia"/>
          <w:sz w:val="32"/>
          <w:szCs w:val="32"/>
        </w:rPr>
        <w:t>3</w:t>
      </w:r>
      <w:r>
        <w:rPr>
          <w:rFonts w:ascii="仿宋_GB2312" w:eastAsia="仿宋_GB2312" w:hint="eastAsia"/>
          <w:sz w:val="32"/>
          <w:szCs w:val="32"/>
          <w:lang w:val="zh-CN"/>
        </w:rPr>
        <w:t>年完成流动图书</w:t>
      </w:r>
      <w:r>
        <w:rPr>
          <w:rFonts w:ascii="仿宋_GB2312" w:eastAsia="仿宋_GB2312" w:hint="eastAsia"/>
          <w:sz w:val="32"/>
          <w:szCs w:val="32"/>
        </w:rPr>
        <w:t>进基层</w:t>
      </w:r>
      <w:r>
        <w:rPr>
          <w:rFonts w:ascii="仿宋_GB2312" w:eastAsia="仿宋_GB2312" w:hint="eastAsia"/>
          <w:sz w:val="32"/>
          <w:szCs w:val="32"/>
          <w:lang w:val="zh-CN"/>
        </w:rPr>
        <w:t>活动30场次；</w:t>
      </w:r>
      <w:r>
        <w:rPr>
          <w:rFonts w:ascii="仿宋_GB2312" w:eastAsia="仿宋_GB2312" w:hint="eastAsia"/>
          <w:sz w:val="32"/>
          <w:szCs w:val="32"/>
        </w:rPr>
        <w:t>举办</w:t>
      </w:r>
      <w:r>
        <w:rPr>
          <w:rFonts w:ascii="仿宋_GB2312" w:eastAsia="仿宋_GB2312" w:hint="eastAsia"/>
          <w:sz w:val="32"/>
          <w:szCs w:val="32"/>
          <w:lang w:val="zh-CN"/>
        </w:rPr>
        <w:t>大型</w:t>
      </w:r>
      <w:r>
        <w:rPr>
          <w:rFonts w:ascii="仿宋_GB2312" w:eastAsia="仿宋_GB2312" w:hint="eastAsia"/>
          <w:sz w:val="32"/>
          <w:szCs w:val="32"/>
        </w:rPr>
        <w:t>阅读推广</w:t>
      </w:r>
      <w:r>
        <w:rPr>
          <w:rFonts w:ascii="仿宋_GB2312" w:eastAsia="仿宋_GB2312" w:hint="eastAsia"/>
          <w:sz w:val="32"/>
          <w:szCs w:val="32"/>
          <w:lang w:val="zh-CN"/>
        </w:rPr>
        <w:t>宣传活动</w:t>
      </w:r>
      <w:r>
        <w:rPr>
          <w:rFonts w:ascii="仿宋_GB2312" w:eastAsia="仿宋_GB2312" w:hint="eastAsia"/>
          <w:sz w:val="32"/>
          <w:szCs w:val="32"/>
        </w:rPr>
        <w:t>2次</w:t>
      </w:r>
      <w:r>
        <w:rPr>
          <w:rFonts w:ascii="仿宋_GB2312" w:eastAsia="仿宋_GB2312" w:hint="eastAsia"/>
          <w:sz w:val="32"/>
          <w:szCs w:val="32"/>
          <w:lang w:val="zh-CN"/>
        </w:rPr>
        <w:t>，且活动中有未成年参与的比例达到50%以上；</w:t>
      </w:r>
      <w:r>
        <w:rPr>
          <w:rFonts w:ascii="仿宋_GB2312" w:eastAsia="仿宋_GB2312" w:hint="eastAsia"/>
          <w:sz w:val="32"/>
          <w:szCs w:val="32"/>
        </w:rPr>
        <w:t>举办公益</w:t>
      </w:r>
      <w:r>
        <w:rPr>
          <w:rFonts w:ascii="仿宋_GB2312" w:eastAsia="仿宋_GB2312" w:hint="eastAsia"/>
          <w:sz w:val="32"/>
          <w:szCs w:val="32"/>
          <w:lang w:val="zh-CN"/>
        </w:rPr>
        <w:t>培训讲座</w:t>
      </w:r>
      <w:r>
        <w:rPr>
          <w:rFonts w:ascii="仿宋_GB2312" w:eastAsia="仿宋_GB2312" w:hint="eastAsia"/>
          <w:sz w:val="32"/>
          <w:szCs w:val="32"/>
        </w:rPr>
        <w:t>9</w:t>
      </w:r>
      <w:r>
        <w:rPr>
          <w:rFonts w:ascii="仿宋_GB2312" w:eastAsia="仿宋_GB2312" w:hint="eastAsia"/>
          <w:sz w:val="32"/>
          <w:szCs w:val="32"/>
          <w:lang w:val="zh-CN"/>
        </w:rPr>
        <w:t>场，年</w:t>
      </w:r>
      <w:r>
        <w:rPr>
          <w:rFonts w:ascii="仿宋_GB2312" w:eastAsia="仿宋_GB2312" w:hint="eastAsia"/>
          <w:sz w:val="32"/>
          <w:szCs w:val="32"/>
        </w:rPr>
        <w:t>人均</w:t>
      </w:r>
      <w:r>
        <w:rPr>
          <w:rFonts w:ascii="仿宋_GB2312" w:eastAsia="仿宋_GB2312" w:hint="eastAsia"/>
          <w:sz w:val="32"/>
          <w:szCs w:val="32"/>
          <w:lang w:val="zh-CN"/>
        </w:rPr>
        <w:t>培训学时达到</w:t>
      </w:r>
      <w:r>
        <w:rPr>
          <w:rFonts w:ascii="仿宋_GB2312" w:eastAsia="仿宋_GB2312" w:hint="eastAsia"/>
          <w:sz w:val="32"/>
          <w:szCs w:val="32"/>
        </w:rPr>
        <w:t>2</w:t>
      </w:r>
      <w:r>
        <w:rPr>
          <w:rFonts w:ascii="仿宋_GB2312" w:eastAsia="仿宋_GB2312" w:hint="eastAsia"/>
          <w:sz w:val="32"/>
          <w:szCs w:val="32"/>
          <w:lang w:val="zh-CN"/>
        </w:rPr>
        <w:t>0小时以上，且学员培训合格率达到90%，很好的保障了基层公共文化服务，提升了基层公共文化服务效能，达到质量提升及标准。发现的问题及原因：</w:t>
      </w:r>
      <w:r>
        <w:rPr>
          <w:rFonts w:ascii="仿宋_GB2312" w:eastAsia="仿宋_GB2312" w:hint="eastAsia"/>
          <w:sz w:val="32"/>
          <w:szCs w:val="32"/>
        </w:rPr>
        <w:t>一是</w:t>
      </w:r>
      <w:r>
        <w:rPr>
          <w:rFonts w:ascii="仿宋_GB2312" w:eastAsia="仿宋_GB2312" w:hint="eastAsia"/>
          <w:sz w:val="32"/>
          <w:szCs w:val="32"/>
          <w:lang w:val="zh-CN"/>
        </w:rPr>
        <w:t>绩效运行监控工作接触时间不长，但由于运行时间较短，在绩效目标编制上依然有欠缺，绩效目标设立不够明确、细化和量化。对绩效分析也不够透彻。</w:t>
      </w:r>
      <w:r>
        <w:rPr>
          <w:rFonts w:ascii="仿宋_GB2312" w:eastAsia="仿宋_GB2312" w:hint="eastAsia"/>
          <w:sz w:val="32"/>
          <w:szCs w:val="32"/>
        </w:rPr>
        <w:t>二是</w:t>
      </w:r>
      <w:r>
        <w:rPr>
          <w:rFonts w:ascii="仿宋_GB2312" w:eastAsia="仿宋_GB2312" w:hint="eastAsia"/>
          <w:sz w:val="32"/>
          <w:szCs w:val="32"/>
          <w:lang w:val="zh-CN"/>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下一步改进措施：</w:t>
      </w:r>
      <w:r>
        <w:rPr>
          <w:rFonts w:ascii="仿宋_GB2312" w:eastAsia="仿宋_GB2312" w:hint="eastAsia"/>
          <w:sz w:val="32"/>
          <w:szCs w:val="32"/>
        </w:rPr>
        <w:t>一是</w:t>
      </w:r>
      <w:r>
        <w:rPr>
          <w:rFonts w:ascii="仿宋_GB2312" w:eastAsia="仿宋_GB2312" w:hint="eastAsia"/>
          <w:sz w:val="32"/>
          <w:szCs w:val="32"/>
          <w:lang w:val="zh-CN"/>
        </w:rPr>
        <w:t>大力强化宣传，加强政策学习，提高思想认识，提高绩效监控认同感，首先要从部门实际入手，进行深刻剖析，分析实施绩效监控的重要性和意义，激发部门单位对实施绩效监控的积极性。</w:t>
      </w:r>
      <w:r>
        <w:rPr>
          <w:rFonts w:ascii="仿宋_GB2312" w:eastAsia="仿宋_GB2312" w:hint="eastAsia"/>
          <w:sz w:val="32"/>
          <w:szCs w:val="32"/>
        </w:rPr>
        <w:t>二是</w:t>
      </w:r>
      <w:r>
        <w:rPr>
          <w:rFonts w:ascii="仿宋_GB2312" w:eastAsia="仿宋_GB2312" w:hint="eastAsia"/>
          <w:sz w:val="32"/>
          <w:szCs w:val="32"/>
          <w:lang w:val="zh-CN"/>
        </w:rPr>
        <w:t>着力推动绩效运行监控与部门内部控制管理相结合，发现问题及时纠正，确保绩效监控结果的客观性和准确性。加强资金使用管理，严格按照执行资金批准的使用计划和批复资料，认真执行资金管理和</w:t>
      </w:r>
      <w:r>
        <w:rPr>
          <w:rFonts w:ascii="仿宋_GB2312" w:eastAsia="仿宋_GB2312" w:hint="eastAsia"/>
          <w:sz w:val="32"/>
          <w:szCs w:val="32"/>
          <w:lang w:val="zh-CN"/>
        </w:rPr>
        <w:lastRenderedPageBreak/>
        <w:t>财务管理制度，严格执行国家有关财务规章制度规定的开支范围及开支标准，确保资金用到实处，发挥效益。提升履职效率，强化管理效能，优化服务效果，促进创新创优，推动政府执行力和公信力提升</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662"/>
        <w:gridCol w:w="951"/>
        <w:gridCol w:w="951"/>
        <w:gridCol w:w="951"/>
        <w:gridCol w:w="1168"/>
        <w:gridCol w:w="951"/>
        <w:gridCol w:w="951"/>
        <w:gridCol w:w="937"/>
      </w:tblGrid>
      <w:tr w:rsidR="00A9350D">
        <w:trPr>
          <w:trHeight w:val="523"/>
          <w:jc w:val="center"/>
        </w:trPr>
        <w:tc>
          <w:tcPr>
            <w:tcW w:w="9250"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部门（单位）整体支出绩效目标自评表</w:t>
            </w:r>
          </w:p>
        </w:tc>
      </w:tr>
      <w:tr w:rsidR="00A9350D">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（2023年度）</w:t>
            </w:r>
          </w:p>
        </w:tc>
      </w:tr>
      <w:tr w:rsidR="00A9350D">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r>
      <w:tr w:rsidR="00A9350D">
        <w:trPr>
          <w:trHeight w:val="570"/>
          <w:jc w:val="center"/>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9350D">
        <w:trPr>
          <w:trHeight w:val="88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16.00</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16.00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9350D">
        <w:trPr>
          <w:trHeight w:val="88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4.80</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4.80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trPr>
          <w:trHeight w:val="88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trPr>
          <w:trHeight w:val="88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162.27</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148.22</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148.22</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trPr>
          <w:trHeight w:val="88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5.11</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5.11</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trPr>
          <w:trHeight w:val="88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162.27</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174.13</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174.13</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trPr>
          <w:trHeight w:val="705"/>
          <w:jc w:val="center"/>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9350D">
        <w:trPr>
          <w:trHeight w:val="200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30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2023年完成全县人均新增0.02册文献，完成流动图书车进基层30场次，举办2场大型阅读推广活动，举办9场次公益讲座培训；保障全年场馆免费开放300日，提升社会公众对公共图书馆公共文化服务满意率。</w:t>
            </w:r>
          </w:p>
        </w:tc>
        <w:tc>
          <w:tcPr>
            <w:tcW w:w="43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截止2023年12月31日，公共图书馆正常运行，场馆免费开放365日；购置文献11.02万元，人均新增文献0.027册；完成流动图书车进基层活动33场次，举办大型阅读推广宣传活动4次，举办公益讲座培训11场，经调研，我单位本年度的工作得到了社会公众对图书馆服务效能、业务能力、保障条件极大的认可。</w:t>
            </w:r>
          </w:p>
        </w:tc>
      </w:tr>
      <w:tr w:rsidR="00A9350D">
        <w:trPr>
          <w:trHeight w:val="580"/>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一级指标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二级指标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三级指标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预期指标值</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指标值设定依据</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分值权重</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实际完成指标值</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得分</w:t>
            </w:r>
          </w:p>
        </w:tc>
      </w:tr>
      <w:tr w:rsidR="00A9350D">
        <w:trPr>
          <w:trHeight w:val="740"/>
          <w:jc w:val="center"/>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运行成本</w:t>
            </w:r>
          </w:p>
        </w:tc>
        <w:tc>
          <w:tcPr>
            <w:tcW w:w="10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数量指标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保障办公人员数量</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&gt;=7人</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《关于木垒哈萨克自治县文化体育广播电视和旅游局所属事业单位机构编制调整有关事宜的通知》（木县党机编发[2020]32号）</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7人</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r>
      <w:tr w:rsidR="00A9350D">
        <w:trPr>
          <w:trHeight w:val="74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年人均新增藏量</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&gt;=0.02册</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《2023年全区各级公共文化服务活动内容清单》</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0.02册</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r>
      <w:tr w:rsidR="00A9350D">
        <w:trPr>
          <w:trHeight w:val="740"/>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管理效率</w:t>
            </w: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6"/>
                <w:szCs w:val="16"/>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r>
      <w:tr w:rsidR="00A9350D">
        <w:trPr>
          <w:trHeight w:val="740"/>
          <w:jc w:val="center"/>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履职效能</w:t>
            </w: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流动图书车进基层活动</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&gt;=30场次</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《2023年全区各级公共文化服务活动内容清单》</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30场次</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r>
      <w:tr w:rsidR="00A9350D">
        <w:trPr>
          <w:trHeight w:val="74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举办阅读推广活动</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&gt;=2次</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《2023年全区各级公共文化服务活动内容清单》</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2次</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r>
      <w:tr w:rsidR="00A9350D">
        <w:trPr>
          <w:trHeight w:val="74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举办公益讲座培训</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&gt;=9场</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《2023年全区各级公共文化服务活动内容清单》</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9场</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r>
      <w:tr w:rsidR="00A9350D">
        <w:trPr>
          <w:trHeight w:val="74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质量指标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大型宣传活动有未成年参与比率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&gt;=50%</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《2023年全区各级公共文化服务活动内容清单》</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r>
      <w:tr w:rsidR="00A9350D">
        <w:trPr>
          <w:trHeight w:val="74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学员培训合格率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&gt;=90%</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《2023年全区各级公共文化服务活动内容清单》</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r>
      <w:tr w:rsidR="00A9350D">
        <w:trPr>
          <w:trHeight w:val="74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时效指标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免费开放时间</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&gt;=300日/年</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《2023年全区各级公共文化服务活动内容清单》</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300日/年</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r>
      <w:tr w:rsidR="00A9350D">
        <w:trPr>
          <w:trHeight w:val="740"/>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社会效益</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6"/>
                <w:szCs w:val="16"/>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r>
      <w:tr w:rsidR="00A9350D">
        <w:trPr>
          <w:trHeight w:val="740"/>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可持续发展能力</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6"/>
                <w:szCs w:val="16"/>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18"/>
                <w:szCs w:val="18"/>
              </w:rPr>
            </w:pPr>
          </w:p>
        </w:tc>
      </w:tr>
      <w:tr w:rsidR="00A9350D">
        <w:trPr>
          <w:trHeight w:val="740"/>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服务对象满意度</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质量指标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社会公众对公共图书馆公共文化服务满意率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&gt;=95%</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木垒县图书馆2023年工作计划</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95%</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r>
    </w:tbl>
    <w:p w:rsidR="00A9350D" w:rsidRDefault="00A9350D">
      <w:pPr>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664"/>
        <w:gridCol w:w="665"/>
        <w:gridCol w:w="680"/>
        <w:gridCol w:w="619"/>
        <w:gridCol w:w="1182"/>
        <w:gridCol w:w="996"/>
        <w:gridCol w:w="685"/>
        <w:gridCol w:w="444"/>
        <w:gridCol w:w="475"/>
        <w:gridCol w:w="454"/>
        <w:gridCol w:w="486"/>
        <w:gridCol w:w="475"/>
        <w:gridCol w:w="697"/>
      </w:tblGrid>
      <w:tr w:rsidR="00A9350D">
        <w:trPr>
          <w:trHeight w:val="408"/>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项目支出绩效自评表</w:t>
            </w:r>
          </w:p>
        </w:tc>
      </w:tr>
      <w:tr w:rsidR="00A9350D">
        <w:trPr>
          <w:trHeight w:val="288"/>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9350D">
        <w:trPr>
          <w:trHeight w:val="288"/>
          <w:jc w:val="center"/>
        </w:trPr>
        <w:tc>
          <w:tcPr>
            <w:tcW w:w="1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19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2023年公共图书馆免费开放补助资金</w:t>
            </w:r>
          </w:p>
        </w:tc>
      </w:tr>
      <w:tr w:rsidR="00A9350D">
        <w:trPr>
          <w:trHeight w:val="288"/>
          <w:jc w:val="center"/>
        </w:trPr>
        <w:tc>
          <w:tcPr>
            <w:tcW w:w="1329"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3477"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c>
          <w:tcPr>
            <w:tcW w:w="1129"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587" w:type="dxa"/>
            <w:gridSpan w:val="5"/>
            <w:tcBorders>
              <w:top w:val="single" w:sz="4" w:space="0" w:color="auto"/>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r>
      <w:tr w:rsidR="00A9350D">
        <w:trPr>
          <w:trHeight w:val="480"/>
          <w:jc w:val="center"/>
        </w:trPr>
        <w:tc>
          <w:tcPr>
            <w:tcW w:w="132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9350D">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A9350D">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其他资金</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trPr>
          <w:trHeight w:val="288"/>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14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71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9350D">
        <w:trPr>
          <w:trHeight w:val="54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4142" w:type="dxa"/>
            <w:gridSpan w:val="5"/>
            <w:tcBorders>
              <w:top w:val="single" w:sz="4" w:space="0" w:color="000000"/>
              <w:left w:val="single" w:sz="4" w:space="0" w:color="000000"/>
              <w:bottom w:val="single" w:sz="4" w:space="0" w:color="000000"/>
              <w:right w:val="single" w:sz="4" w:space="0" w:color="000000"/>
            </w:tcBorders>
            <w:shd w:val="clear" w:color="auto" w:fill="auto"/>
          </w:tcPr>
          <w:p w:rsidR="00A9350D" w:rsidRDefault="00000000">
            <w:pPr>
              <w:widowControl/>
              <w:jc w:val="left"/>
              <w:textAlignment w:val="top"/>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依照昌州财教</w:t>
            </w:r>
            <w:proofErr w:type="gramEnd"/>
            <w:r>
              <w:rPr>
                <w:rFonts w:ascii="宋体" w:hAnsi="宋体" w:cs="宋体" w:hint="eastAsia"/>
                <w:color w:val="000000"/>
                <w:kern w:val="0"/>
                <w:sz w:val="20"/>
                <w:szCs w:val="20"/>
                <w:lang w:bidi="ar"/>
              </w:rPr>
              <w:t>[2022]63号、昌</w:t>
            </w:r>
            <w:proofErr w:type="gramStart"/>
            <w:r>
              <w:rPr>
                <w:rFonts w:ascii="宋体" w:hAnsi="宋体" w:cs="宋体" w:hint="eastAsia"/>
                <w:color w:val="000000"/>
                <w:kern w:val="0"/>
                <w:sz w:val="20"/>
                <w:szCs w:val="20"/>
                <w:lang w:bidi="ar"/>
              </w:rPr>
              <w:t>州财教</w:t>
            </w:r>
            <w:proofErr w:type="gramEnd"/>
            <w:r>
              <w:rPr>
                <w:rFonts w:ascii="宋体" w:hAnsi="宋体" w:cs="宋体" w:hint="eastAsia"/>
                <w:color w:val="000000"/>
                <w:kern w:val="0"/>
                <w:sz w:val="20"/>
                <w:szCs w:val="20"/>
                <w:lang w:bidi="ar"/>
              </w:rPr>
              <w:t>[2022]71号文件，计划使用20万财政资金实施木垒县公共图书馆免费开放项目，具体内容为：保障场馆免费开放开展阅读推广活动，开展流动图书车七进活动，举办公益培训、讲座、展览等读者活动，丰富群众精神文化需求。</w:t>
            </w:r>
          </w:p>
        </w:tc>
        <w:tc>
          <w:tcPr>
            <w:tcW w:w="3716" w:type="dxa"/>
            <w:gridSpan w:val="7"/>
            <w:tcBorders>
              <w:top w:val="single" w:sz="4" w:space="0" w:color="000000"/>
              <w:left w:val="single" w:sz="4" w:space="0" w:color="000000"/>
              <w:bottom w:val="single" w:sz="4" w:space="0" w:color="000000"/>
              <w:right w:val="single" w:sz="4" w:space="0" w:color="000000"/>
            </w:tcBorders>
            <w:shd w:val="clear" w:color="auto" w:fill="auto"/>
          </w:tcPr>
          <w:p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自评之日，本项目已完成如下工作：2023年使用20万财政资金实施公共图书馆免费开放项目，保障场馆全年免费开放350日，开展大型阅读推广活动4场，开展流动图书车下基层活动33场，举办公益培训讲座12场，举办展览17场，针对少儿群体开展阅读活动11场。项目的实施保障了各族群众的阅读权益，丰富了各族群众精神文化需求，提高了各族群众对公共文化服务的满意度，推动了“书香木垒”的建设。</w:t>
            </w:r>
          </w:p>
        </w:tc>
      </w:tr>
      <w:tr w:rsidR="00A9350D">
        <w:trPr>
          <w:trHeight w:val="312"/>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6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8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9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4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A9350D">
        <w:trPr>
          <w:trHeight w:val="312"/>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8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4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1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trPr>
          <w:trHeight w:val="400"/>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w:t>
            </w:r>
            <w:r>
              <w:rPr>
                <w:rFonts w:ascii="宋体" w:hAnsi="宋体" w:cs="宋体" w:hint="eastAsia"/>
                <w:color w:val="000000"/>
                <w:kern w:val="0"/>
                <w:sz w:val="20"/>
                <w:szCs w:val="20"/>
                <w:lang w:bidi="ar"/>
              </w:rPr>
              <w:lastRenderedPageBreak/>
              <w:t>情况</w:t>
            </w: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产出指标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流动图书车进基层活动</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&gt;=30场次</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=33场次</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w:t>
            </w:r>
            <w:r>
              <w:rPr>
                <w:rFonts w:ascii="宋体" w:hAnsi="宋体" w:cs="宋体" w:hint="eastAsia"/>
                <w:color w:val="000000"/>
                <w:kern w:val="0"/>
                <w:sz w:val="20"/>
                <w:szCs w:val="20"/>
                <w:lang w:bidi="ar"/>
              </w:rPr>
              <w:lastRenderedPageBreak/>
              <w:t>增加工作任务</w:t>
            </w: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举办大型阅读推广宣传活动</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举办公益讲座培训</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组织少儿阅读活动数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大型宣传活动未成年参与人数占比</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=55%</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3.6</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学员培训合格率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基层业务辅导覆盖率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开展各类培训学时</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&gt;=20学时</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=20学时</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免费开放天数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&gt;=300天</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=350天</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3.32</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预算控制率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举办活动时安全事故发生率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w:t>
            </w:r>
            <w:r>
              <w:rPr>
                <w:rFonts w:ascii="宋体" w:hAnsi="宋体" w:cs="宋体" w:hint="eastAsia"/>
                <w:color w:val="000000"/>
                <w:kern w:val="0"/>
                <w:sz w:val="20"/>
                <w:szCs w:val="20"/>
                <w:lang w:bidi="ar"/>
              </w:rPr>
              <w:lastRenderedPageBreak/>
              <w:t>工作计划增加工作任务</w:t>
            </w: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公共图书馆正常运转率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&gt;=99%</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社会公众对公共图书馆公共文化服务满意率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=96.99%</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trPr>
          <w:trHeight w:val="288"/>
          <w:jc w:val="center"/>
        </w:trPr>
        <w:tc>
          <w:tcPr>
            <w:tcW w:w="549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90.12分</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bl>
    <w:p w:rsidR="00A9350D" w:rsidRDefault="00A9350D">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66"/>
        <w:gridCol w:w="635"/>
        <w:gridCol w:w="1306"/>
        <w:gridCol w:w="395"/>
        <w:gridCol w:w="959"/>
        <w:gridCol w:w="774"/>
        <w:gridCol w:w="573"/>
        <w:gridCol w:w="959"/>
        <w:gridCol w:w="196"/>
        <w:gridCol w:w="400"/>
        <w:gridCol w:w="213"/>
        <w:gridCol w:w="500"/>
        <w:gridCol w:w="430"/>
        <w:gridCol w:w="716"/>
      </w:tblGrid>
      <w:tr w:rsidR="00A9350D">
        <w:trPr>
          <w:trHeight w:val="40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32"/>
                <w:szCs w:val="32"/>
              </w:rPr>
            </w:pPr>
            <w:r>
              <w:rPr>
                <w:rFonts w:ascii="宋体" w:hAnsi="宋体" w:cs="宋体" w:hint="eastAsia"/>
                <w:color w:val="000000"/>
                <w:kern w:val="0"/>
                <w:sz w:val="32"/>
                <w:szCs w:val="32"/>
                <w:lang w:bidi="ar"/>
              </w:rPr>
              <w:t>项目支出绩效自评表</w:t>
            </w:r>
          </w:p>
        </w:tc>
      </w:tr>
      <w:tr w:rsidR="00A9350D">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9350D" w:rsidTr="00D02C6F">
        <w:trPr>
          <w:trHeight w:val="288"/>
          <w:jc w:val="center"/>
        </w:trPr>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42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2023年文化人才服务基层补助资金</w:t>
            </w:r>
          </w:p>
        </w:tc>
      </w:tr>
      <w:tr w:rsidR="00A9350D" w:rsidTr="00D02C6F">
        <w:trPr>
          <w:trHeight w:val="288"/>
          <w:jc w:val="center"/>
        </w:trPr>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00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2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r>
      <w:tr w:rsidR="00A9350D" w:rsidTr="00D02C6F">
        <w:trPr>
          <w:trHeight w:val="480"/>
          <w:jc w:val="center"/>
        </w:trPr>
        <w:tc>
          <w:tcPr>
            <w:tcW w:w="11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9350D"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A9350D"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其他资金</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trPr>
          <w:trHeight w:val="288"/>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年度总体目标</w:t>
            </w:r>
          </w:p>
        </w:tc>
        <w:tc>
          <w:tcPr>
            <w:tcW w:w="464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41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9350D">
        <w:trPr>
          <w:trHeight w:val="54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4642" w:type="dxa"/>
            <w:gridSpan w:val="6"/>
            <w:tcBorders>
              <w:top w:val="single" w:sz="4" w:space="0" w:color="000000"/>
              <w:left w:val="single" w:sz="4" w:space="0" w:color="000000"/>
              <w:bottom w:val="single" w:sz="4" w:space="0" w:color="000000"/>
              <w:right w:val="single" w:sz="4" w:space="0" w:color="000000"/>
            </w:tcBorders>
            <w:shd w:val="clear" w:color="auto" w:fill="auto"/>
          </w:tcPr>
          <w:p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开展阅读推广下基层6场，开展基层业务辅导6场，提升基层服务效能，丰富群众精神文化需求。</w:t>
            </w:r>
          </w:p>
        </w:tc>
        <w:tc>
          <w:tcPr>
            <w:tcW w:w="3414" w:type="dxa"/>
            <w:gridSpan w:val="7"/>
            <w:tcBorders>
              <w:top w:val="single" w:sz="4" w:space="0" w:color="000000"/>
              <w:left w:val="single" w:sz="4" w:space="0" w:color="000000"/>
              <w:bottom w:val="single" w:sz="4" w:space="0" w:color="000000"/>
              <w:right w:val="single" w:sz="4" w:space="0" w:color="000000"/>
            </w:tcBorders>
            <w:shd w:val="clear" w:color="auto" w:fill="auto"/>
          </w:tcPr>
          <w:p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截止自评之日，本项目已完成如下工作：已开展阅读推广下基层9场，开展基层业务辅导6场，项目的实施解决了基层分馆的阅读推广资源缺乏的问题，提升了基层服务效能，丰富了群众精神文化需求。</w:t>
            </w:r>
          </w:p>
        </w:tc>
      </w:tr>
      <w:tr w:rsidR="00A9350D" w:rsidTr="00D02C6F">
        <w:trPr>
          <w:trHeight w:val="312"/>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7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7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59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7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4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A9350D" w:rsidTr="00D02C6F">
        <w:trPr>
          <w:trHeight w:val="312"/>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7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73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5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59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71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14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rsidTr="00D02C6F">
        <w:trPr>
          <w:trHeight w:val="400"/>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阅读推广进基层活动次数</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&gt;=6场次</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=9场次</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基层业务辅导次数</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&gt;=6场次</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=6场次</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基层业务辅导工作达标率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阅读推广下基层活动参与率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举办阅读推广下基层活动及时率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提升基层书屋服务效能</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显著提升</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显著提升</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参与活动群众满意率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r w:rsidR="00A9350D">
        <w:trPr>
          <w:trHeight w:val="288"/>
          <w:jc w:val="center"/>
        </w:trPr>
        <w:tc>
          <w:tcPr>
            <w:tcW w:w="606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95分</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9350D" w:rsidRDefault="00A9350D">
            <w:pPr>
              <w:jc w:val="center"/>
              <w:rPr>
                <w:rFonts w:ascii="宋体" w:hAnsi="宋体" w:cs="宋体" w:hint="eastAsia"/>
                <w:color w:val="000000"/>
                <w:sz w:val="20"/>
                <w:szCs w:val="20"/>
              </w:rPr>
            </w:pPr>
          </w:p>
        </w:tc>
      </w:tr>
    </w:tbl>
    <w:p w:rsidR="00A9350D" w:rsidRDefault="00A9350D">
      <w:pPr>
        <w:ind w:firstLineChars="200" w:firstLine="640"/>
        <w:jc w:val="left"/>
        <w:rPr>
          <w:rFonts w:ascii="黑体" w:eastAsia="黑体" w:hAnsi="黑体" w:cs="宋体" w:hint="eastAsia"/>
          <w:bCs/>
          <w:kern w:val="0"/>
          <w:sz w:val="32"/>
          <w:szCs w:val="32"/>
        </w:rPr>
      </w:pPr>
    </w:p>
    <w:p w:rsidR="00A9350D"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rsidR="00A9350D"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A9350D"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A9350D"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A9350D"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A9350D"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rsidR="00A9350D"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rsidR="00A9350D"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rsidR="00A9350D"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rsidR="00A9350D"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rsidR="00A9350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rsidR="00A9350D"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rsidR="00A9350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A9350D" w:rsidRDefault="00A9350D">
      <w:pPr>
        <w:ind w:firstLineChars="200" w:firstLine="640"/>
        <w:rPr>
          <w:rFonts w:ascii="仿宋_GB2312" w:eastAsia="仿宋_GB2312"/>
          <w:sz w:val="32"/>
          <w:szCs w:val="32"/>
        </w:rPr>
      </w:pPr>
    </w:p>
    <w:p w:rsidR="00A9350D" w:rsidRDefault="00A9350D">
      <w:pPr>
        <w:ind w:firstLineChars="200" w:firstLine="640"/>
        <w:outlineLvl w:val="1"/>
        <w:rPr>
          <w:rFonts w:ascii="黑体" w:eastAsia="黑体" w:hAnsi="黑体" w:cs="宋体" w:hint="eastAsia"/>
          <w:bCs/>
          <w:kern w:val="0"/>
          <w:sz w:val="32"/>
          <w:szCs w:val="32"/>
        </w:rPr>
      </w:pPr>
    </w:p>
    <w:sectPr w:rsidR="00A9350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64F76" w:rsidRDefault="00564F76">
      <w:r>
        <w:separator/>
      </w:r>
    </w:p>
  </w:endnote>
  <w:endnote w:type="continuationSeparator" w:id="0">
    <w:p w:rsidR="00564F76" w:rsidRDefault="0056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9350D"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9350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A9350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64F76" w:rsidRDefault="00564F76">
      <w:r>
        <w:separator/>
      </w:r>
    </w:p>
  </w:footnote>
  <w:footnote w:type="continuationSeparator" w:id="0">
    <w:p w:rsidR="00564F76" w:rsidRDefault="00564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09610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A9350D"/>
    <w:rsid w:val="00213C59"/>
    <w:rsid w:val="003210CE"/>
    <w:rsid w:val="00564F76"/>
    <w:rsid w:val="00A9350D"/>
    <w:rsid w:val="00B70D59"/>
    <w:rsid w:val="00D02C6F"/>
    <w:rsid w:val="00DF538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85614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1C2021"/>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A50B49"/>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43F01"/>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FC47B9"/>
  <w15:docId w15:val="{DE90EB8B-A4C6-433B-A8F9-C2D11CC2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Heading2"/>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2"/>
    <w:basedOn w:val="a"/>
    <w:next w:val="a"/>
    <w:autoRedefine/>
    <w:unhideWhenUsed/>
    <w:qFormat/>
    <w:pPr>
      <w:keepNext/>
      <w:widowControl/>
      <w:spacing w:before="240" w:after="60"/>
      <w:jc w:val="left"/>
      <w:textAlignment w:val="baseline"/>
    </w:pPr>
    <w:rPr>
      <w:rFonts w:ascii="Cambria" w:hAnsi="Cambria" w:hint="eastAsia"/>
      <w:b/>
      <w:i/>
      <w:sz w:val="28"/>
    </w:rPr>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1602</Words>
  <Characters>9135</Characters>
  <Application>Microsoft Office Word</Application>
  <DocSecurity>0</DocSecurity>
  <Lines>76</Lines>
  <Paragraphs>21</Paragraphs>
  <ScaleCrop>false</ScaleCrop>
  <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2</cp:revision>
  <dcterms:created xsi:type="dcterms:W3CDTF">2014-10-29T12:08:00Z</dcterms:created>
  <dcterms:modified xsi:type="dcterms:W3CDTF">2024-08-19T07:21:00Z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